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A7798" w14:textId="66BC610C" w:rsidR="001168C7" w:rsidRDefault="001168C7" w:rsidP="008078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Leitura Complementar</w:t>
      </w:r>
      <w:r w:rsidR="00962634">
        <w:rPr>
          <w:b/>
          <w:sz w:val="24"/>
          <w:szCs w:val="24"/>
        </w:rPr>
        <w:t xml:space="preserve"> da</w:t>
      </w:r>
      <w:r>
        <w:rPr>
          <w:b/>
          <w:sz w:val="24"/>
          <w:szCs w:val="24"/>
        </w:rPr>
        <w:t xml:space="preserve"> disciplina Mercado de Capitais</w:t>
      </w:r>
    </w:p>
    <w:p w14:paraId="392ADC78" w14:textId="77777777" w:rsidR="00D02E54" w:rsidRPr="00D02E54" w:rsidRDefault="00D02E54" w:rsidP="00D02E54">
      <w:pPr>
        <w:jc w:val="both"/>
        <w:rPr>
          <w:b/>
          <w:sz w:val="24"/>
          <w:szCs w:val="24"/>
        </w:rPr>
      </w:pPr>
      <w:r w:rsidRPr="00D02E54">
        <w:rPr>
          <w:b/>
          <w:sz w:val="24"/>
          <w:szCs w:val="24"/>
        </w:rPr>
        <w:t>O que vale é o fundamento</w:t>
      </w:r>
    </w:p>
    <w:p w14:paraId="3C58CC73" w14:textId="77777777" w:rsidR="00D02E54" w:rsidRPr="00D02E54" w:rsidRDefault="00A257D1" w:rsidP="00D02E54">
      <w:pPr>
        <w:jc w:val="both"/>
        <w:rPr>
          <w:sz w:val="24"/>
          <w:szCs w:val="24"/>
        </w:rPr>
      </w:pPr>
      <w:r w:rsidRPr="00F2340D">
        <w:rPr>
          <w:sz w:val="24"/>
          <w:szCs w:val="24"/>
        </w:rPr>
        <w:t xml:space="preserve">Por </w:t>
      </w:r>
      <w:proofErr w:type="spellStart"/>
      <w:r>
        <w:rPr>
          <w:sz w:val="24"/>
          <w:szCs w:val="24"/>
        </w:rPr>
        <w:t>Angelo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Pavini</w:t>
      </w:r>
      <w:proofErr w:type="spellEnd"/>
      <w:r w:rsidRPr="00F2340D">
        <w:rPr>
          <w:sz w:val="24"/>
          <w:szCs w:val="24"/>
        </w:rPr>
        <w:t xml:space="preserve"> | São Paulo</w:t>
      </w:r>
      <w:r>
        <w:rPr>
          <w:sz w:val="24"/>
          <w:szCs w:val="24"/>
        </w:rPr>
        <w:t xml:space="preserve">, </w:t>
      </w:r>
      <w:r w:rsidR="00D02E54" w:rsidRPr="00D02E54">
        <w:rPr>
          <w:sz w:val="24"/>
          <w:szCs w:val="24"/>
        </w:rPr>
        <w:t>09/01/2007</w:t>
      </w:r>
      <w:r>
        <w:rPr>
          <w:sz w:val="24"/>
          <w:szCs w:val="24"/>
        </w:rPr>
        <w:t>.</w:t>
      </w:r>
    </w:p>
    <w:p w14:paraId="35A81DFC" w14:textId="77777777" w:rsidR="00D02E54" w:rsidRPr="00D02E54" w:rsidRDefault="00D02E54" w:rsidP="00D02E54">
      <w:pPr>
        <w:jc w:val="both"/>
        <w:rPr>
          <w:sz w:val="24"/>
          <w:szCs w:val="24"/>
        </w:rPr>
      </w:pPr>
      <w:r w:rsidRPr="00D02E54">
        <w:rPr>
          <w:sz w:val="24"/>
          <w:szCs w:val="24"/>
        </w:rPr>
        <w:t>Aos poucos, o investidor brasileiro começa a olhar para o mercado acionário com mais confiança. A imagem de jogo de cartas marcadas, de cassino, onde as regras de mercado não valiam e o pequeno investidor só entrava para financiar a saída dos grandes especuladores ficou para trás. Mas muita gente ainda não entende sua lógica e não sabe bem por onde começar. Muitos ainda procuram dicas e palpites que permitam ganhos astronômicos de um dia para o outro. O caso da euforia com as ofertas públicas, onde muitos compravam ações sem sequer conhecer a empresa, mas porque todas subiam após o lançamento, foi um bom exemplo, que só diminuiu um pouco quando o mercado reverteu em maio do ano passado.</w:t>
      </w:r>
    </w:p>
    <w:p w14:paraId="0D932DF5" w14:textId="77777777" w:rsidR="00D02E54" w:rsidRPr="00D02E54" w:rsidRDefault="00D02E54" w:rsidP="00D02E54">
      <w:pPr>
        <w:jc w:val="both"/>
        <w:rPr>
          <w:sz w:val="24"/>
          <w:szCs w:val="24"/>
        </w:rPr>
      </w:pPr>
      <w:r w:rsidRPr="00D02E54">
        <w:rPr>
          <w:sz w:val="24"/>
          <w:szCs w:val="24"/>
        </w:rPr>
        <w:t>Essa incerteza torna mais importante estudos como o do professor da FEA USP e pesquisador da Fundação Instituto de Pesquisas Atuariais e Financeiras (</w:t>
      </w:r>
      <w:proofErr w:type="spellStart"/>
      <w:r w:rsidRPr="00D02E54">
        <w:rPr>
          <w:sz w:val="24"/>
          <w:szCs w:val="24"/>
        </w:rPr>
        <w:t>Fipecafi</w:t>
      </w:r>
      <w:proofErr w:type="spellEnd"/>
      <w:r w:rsidRPr="00D02E54">
        <w:rPr>
          <w:sz w:val="24"/>
          <w:szCs w:val="24"/>
        </w:rPr>
        <w:t xml:space="preserve">) </w:t>
      </w:r>
      <w:proofErr w:type="spellStart"/>
      <w:r w:rsidRPr="00D02E54">
        <w:rPr>
          <w:sz w:val="24"/>
          <w:szCs w:val="24"/>
        </w:rPr>
        <w:t>Alexsando</w:t>
      </w:r>
      <w:proofErr w:type="spellEnd"/>
      <w:r w:rsidRPr="00D02E54">
        <w:rPr>
          <w:sz w:val="24"/>
          <w:szCs w:val="24"/>
        </w:rPr>
        <w:t xml:space="preserve"> </w:t>
      </w:r>
      <w:proofErr w:type="spellStart"/>
      <w:r w:rsidRPr="00D02E54">
        <w:rPr>
          <w:sz w:val="24"/>
          <w:szCs w:val="24"/>
        </w:rPr>
        <w:t>Broedel</w:t>
      </w:r>
      <w:proofErr w:type="spellEnd"/>
      <w:r w:rsidRPr="00D02E54">
        <w:rPr>
          <w:sz w:val="24"/>
          <w:szCs w:val="24"/>
        </w:rPr>
        <w:t xml:space="preserve"> Lopes, em parceria com o professor da Fundação Instituto Capixaba de Pesquisas (</w:t>
      </w:r>
      <w:proofErr w:type="spellStart"/>
      <w:r w:rsidRPr="00D02E54">
        <w:rPr>
          <w:sz w:val="24"/>
          <w:szCs w:val="24"/>
        </w:rPr>
        <w:t>Fucapi</w:t>
      </w:r>
      <w:proofErr w:type="spellEnd"/>
      <w:r w:rsidRPr="00D02E54">
        <w:rPr>
          <w:sz w:val="24"/>
          <w:szCs w:val="24"/>
        </w:rPr>
        <w:t>) e doutorando da FEA Fernando Galdi.</w:t>
      </w:r>
    </w:p>
    <w:p w14:paraId="6256C893" w14:textId="77777777" w:rsidR="00D02E54" w:rsidRPr="00D02E54" w:rsidRDefault="00D02E54" w:rsidP="00D02E54">
      <w:pPr>
        <w:jc w:val="both"/>
        <w:rPr>
          <w:sz w:val="24"/>
          <w:szCs w:val="24"/>
        </w:rPr>
      </w:pPr>
      <w:r w:rsidRPr="00D02E54">
        <w:rPr>
          <w:sz w:val="24"/>
          <w:szCs w:val="24"/>
        </w:rPr>
        <w:t>Eles analisaram todas as empresas da Bovespa e procuraram dar notas a cada uma de acordo com nove critérios financeiros de desempenho. Depois, pegaram as companhias com as três maiores notas e com menores preços no mercado (de acordo com a relação Preço/Valor Patrimonial) e montaram uma carteira que foi atualizada em janeiro de cada ano de 1994 até 2004. O resultado foi que a carteira com as empresas com melhores indicadores teve um ganho 34% superior ao do Índice Bovespa no período. Isso significaria um retorno nominal de 872,54%, para um Ibovespa de 623,03% no período.</w:t>
      </w:r>
    </w:p>
    <w:p w14:paraId="36598E90" w14:textId="77777777" w:rsidR="00D02E54" w:rsidRPr="00D02E54" w:rsidRDefault="00D02E54" w:rsidP="00D02E54">
      <w:pPr>
        <w:jc w:val="both"/>
        <w:rPr>
          <w:sz w:val="24"/>
          <w:szCs w:val="24"/>
        </w:rPr>
      </w:pPr>
      <w:r w:rsidRPr="00D02E54">
        <w:rPr>
          <w:sz w:val="24"/>
          <w:szCs w:val="24"/>
        </w:rPr>
        <w:t xml:space="preserve">O estudo mostrou ainda que o investidor poderia ter usado o mesmo critério para ganhar também com os papéis que levaram bomba nas notas. Quem tivesse montado uma carteira alugando os papéis com notas abaixo de 3 e vendendo-os no mercado (isso é chamado de ficar vendido) teria obtido um ganho de 17,71% acima do Ibovespa. Fazendo uma carteira </w:t>
      </w:r>
      <w:proofErr w:type="spellStart"/>
      <w:r w:rsidRPr="00D02E54">
        <w:rPr>
          <w:sz w:val="24"/>
          <w:szCs w:val="24"/>
        </w:rPr>
        <w:t>long</w:t>
      </w:r>
      <w:proofErr w:type="spellEnd"/>
      <w:r w:rsidRPr="00D02E54">
        <w:rPr>
          <w:sz w:val="24"/>
          <w:szCs w:val="24"/>
        </w:rPr>
        <w:t>/short, vendida nos papéis com piores notas e comprada na dos melhores, o ganho final teria sido ainda maior, 52,22% acima do Ibovespa. Isso significaria um retorno nominal de 1.000,6%.</w:t>
      </w:r>
    </w:p>
    <w:p w14:paraId="24BEF804" w14:textId="77777777" w:rsidR="00D02E54" w:rsidRPr="00D02E54" w:rsidRDefault="00D02E54" w:rsidP="00D02E54">
      <w:pPr>
        <w:jc w:val="both"/>
        <w:rPr>
          <w:sz w:val="24"/>
          <w:szCs w:val="24"/>
        </w:rPr>
      </w:pPr>
      <w:r w:rsidRPr="00D02E54">
        <w:rPr>
          <w:sz w:val="24"/>
          <w:szCs w:val="24"/>
        </w:rPr>
        <w:t>"O estudo prova que a bolsa tem fundamento, e o investimento com base no estudo das empresas e com disciplina produz resultado no longo prazo", afirma Lopes. A constatação é importante quando o investidor se depara com tantas estratégias de investimento.</w:t>
      </w:r>
    </w:p>
    <w:p w14:paraId="4D3D72CA" w14:textId="77777777" w:rsidR="00D02E54" w:rsidRPr="00D02E54" w:rsidRDefault="00D02E54" w:rsidP="00D02E54">
      <w:pPr>
        <w:jc w:val="both"/>
        <w:rPr>
          <w:sz w:val="24"/>
          <w:szCs w:val="24"/>
        </w:rPr>
      </w:pPr>
      <w:r w:rsidRPr="00D02E54">
        <w:rPr>
          <w:sz w:val="24"/>
          <w:szCs w:val="24"/>
        </w:rPr>
        <w:lastRenderedPageBreak/>
        <w:t>Lopes ataca logo de cara a análise técnica, onde se tenta por meio dos gráficos do passado determinar qual será o comportamento futuro das ações e do mercado. "É parecido com horóscopo", afirma. "A análise gráfica dá uma resposta muito fácil, muito simples de entender e com a qual qualquer pessoa poderia ganhar dinheiro sem muito esforço", afirma Lopes. "Se falarmos para o investidor que ele vai ter de analisar a empresa, ler sobre seu desempenho, aprender sobre o setor, estudar, como é na análise fundamentalista, ele vai desanimar e preferir o gráfico", diz ele. "É como o gordo que reclama do médico que manda ele fazer exercício e comer menos para emagrecer, pois isso ele já sabe e não é o que ele quer".</w:t>
      </w:r>
    </w:p>
    <w:p w14:paraId="49699835" w14:textId="77777777" w:rsidR="00D02E54" w:rsidRPr="00D02E54" w:rsidRDefault="00D02E54" w:rsidP="00D02E54">
      <w:pPr>
        <w:jc w:val="both"/>
        <w:rPr>
          <w:sz w:val="24"/>
          <w:szCs w:val="24"/>
        </w:rPr>
      </w:pPr>
      <w:r w:rsidRPr="00D02E54">
        <w:rPr>
          <w:sz w:val="24"/>
          <w:szCs w:val="24"/>
        </w:rPr>
        <w:t>Isso explica por que a análise gráfica faz tanto sucesso entre investidores pessoa física e amadores, afirma Lopes. "Grandes fundos e gestores não têm essa fixação em técnicas tão simples de análise".</w:t>
      </w:r>
    </w:p>
    <w:p w14:paraId="73010783" w14:textId="77777777" w:rsidR="00D02E54" w:rsidRPr="00D02E54" w:rsidRDefault="00D02E54" w:rsidP="00D02E54">
      <w:pPr>
        <w:jc w:val="both"/>
        <w:rPr>
          <w:sz w:val="24"/>
          <w:szCs w:val="24"/>
        </w:rPr>
      </w:pPr>
      <w:r w:rsidRPr="00D02E54">
        <w:rPr>
          <w:sz w:val="24"/>
          <w:szCs w:val="24"/>
        </w:rPr>
        <w:t>O que realmente funciona, diz Lopes, é a análise fundamentalista, apesar de em alguns momentos fatores externos afetarem o desempenho das ações. Foi o caso, por exemplo, das turbulências provocadas pela flutuação do real em 1999, do apagão em 2001 e da instabilidade política em 2002. "Mas depois de algum tempo os fundamentos prevalecem e os papéis das empresas voltam a se recuperar, como mostra o estudo", afirma.</w:t>
      </w:r>
    </w:p>
    <w:p w14:paraId="098A19C4" w14:textId="77777777" w:rsidR="00D02E54" w:rsidRPr="00D02E54" w:rsidRDefault="00D02E54" w:rsidP="00D02E54">
      <w:pPr>
        <w:jc w:val="both"/>
        <w:rPr>
          <w:sz w:val="24"/>
          <w:szCs w:val="24"/>
        </w:rPr>
      </w:pPr>
      <w:r w:rsidRPr="00D02E54">
        <w:rPr>
          <w:sz w:val="24"/>
          <w:szCs w:val="24"/>
        </w:rPr>
        <w:t>O trabalho de Lopes levou em conta um índice de nove indicadores financeiros das empresas. Cada indicador representaria um ponto para a empresa se fosse positivo e zero se fosse negativo. Depois, os pontos eram somados e as empresas classificadas. As que conseguiam 7, 8 e 9 pontos eram as boas, entre as quais eram selecionadas as que tinham menor preço.</w:t>
      </w:r>
    </w:p>
    <w:p w14:paraId="120B1A58" w14:textId="77777777" w:rsidR="00D02E54" w:rsidRPr="00D02E54" w:rsidRDefault="00D02E54" w:rsidP="00D02E54">
      <w:pPr>
        <w:jc w:val="both"/>
        <w:rPr>
          <w:sz w:val="24"/>
          <w:szCs w:val="24"/>
        </w:rPr>
      </w:pPr>
      <w:r w:rsidRPr="00D02E54">
        <w:rPr>
          <w:sz w:val="24"/>
          <w:szCs w:val="24"/>
        </w:rPr>
        <w:t>Com esses critérios, a carteira ficou em média com 95 papéis, dos quais 30%, ou cerca de 30 ações, eram substituídas a cada ano. "E aí entrou a disciplina, de substituir os papéis mesmo com expectativa de ganhos ou manter os que estavam perdendo muito", afirma Lopes, lembrando que "sempre é mais difícil vender um papel na hora certa do que comprar", explica. No fim de cada ano, cada item era reavaliado de acordo com os novos balanços e a carteira renovada.</w:t>
      </w:r>
    </w:p>
    <w:p w14:paraId="4EFE66E7" w14:textId="77777777" w:rsidR="00D02E54" w:rsidRPr="00D02E54" w:rsidRDefault="00D02E54" w:rsidP="00D02E54">
      <w:pPr>
        <w:jc w:val="both"/>
        <w:rPr>
          <w:sz w:val="24"/>
          <w:szCs w:val="24"/>
        </w:rPr>
      </w:pPr>
      <w:r w:rsidRPr="00D02E54">
        <w:rPr>
          <w:sz w:val="24"/>
          <w:szCs w:val="24"/>
        </w:rPr>
        <w:t xml:space="preserve">Lopes faz questão de frisar que não foi feita nenhuma análise macroeconômica para influenciar as decisões e que os critérios financeiros eram os mais simples, como rentabilidade sobre os ativos, índice de liquidez, alavancagem e endividamento de curto prazo, vendas sobre ativos, margem de lucro e geração de fluxo de caixa. "Queria testar uma análise simplista para ver se ela </w:t>
      </w:r>
      <w:proofErr w:type="gramStart"/>
      <w:r w:rsidRPr="00D02E54">
        <w:rPr>
          <w:sz w:val="24"/>
          <w:szCs w:val="24"/>
        </w:rPr>
        <w:t>funcionaria</w:t>
      </w:r>
      <w:proofErr w:type="gramEnd"/>
      <w:r w:rsidRPr="00D02E54">
        <w:rPr>
          <w:sz w:val="24"/>
          <w:szCs w:val="24"/>
        </w:rPr>
        <w:t xml:space="preserve"> e funcionou, o que significa que a bolsa reflete os fundamentos das empresas", afirma. "Agora vamos tornar a análise mais sofisticada, agregando indicadores setoriais".</w:t>
      </w:r>
    </w:p>
    <w:p w14:paraId="10BE89F5" w14:textId="77777777" w:rsidR="00A257D1" w:rsidRDefault="00D02E54" w:rsidP="00D02E54">
      <w:pPr>
        <w:jc w:val="both"/>
        <w:rPr>
          <w:sz w:val="24"/>
          <w:szCs w:val="24"/>
        </w:rPr>
      </w:pPr>
      <w:r w:rsidRPr="00D02E54">
        <w:rPr>
          <w:sz w:val="24"/>
          <w:szCs w:val="24"/>
        </w:rPr>
        <w:lastRenderedPageBreak/>
        <w:t>Lopes diz que o estudo, feito em 2006, poderia ter sido aplicado a uma carteira real de um investidor. Nesse caso, seria preciso ter pelo menos R$ 100 mil para montar um portfólio desse tipo.</w:t>
      </w:r>
    </w:p>
    <w:p w14:paraId="78BF2DE7" w14:textId="77777777" w:rsidR="00F2340D" w:rsidRDefault="00F2340D" w:rsidP="00D02E54">
      <w:pPr>
        <w:jc w:val="both"/>
        <w:rPr>
          <w:sz w:val="24"/>
          <w:szCs w:val="24"/>
        </w:rPr>
      </w:pPr>
      <w:r w:rsidRPr="008078D5">
        <w:rPr>
          <w:sz w:val="24"/>
          <w:szCs w:val="24"/>
        </w:rPr>
        <w:t xml:space="preserve">© 2000 – 2014. Todos os direitos reservados ao Valor Econômico S.A. </w:t>
      </w:r>
    </w:p>
    <w:p w14:paraId="5950F612" w14:textId="77777777" w:rsidR="001168C7" w:rsidRPr="001168C7" w:rsidRDefault="001168C7" w:rsidP="001168C7">
      <w:pPr>
        <w:jc w:val="both"/>
        <w:rPr>
          <w:b/>
          <w:sz w:val="24"/>
          <w:szCs w:val="24"/>
        </w:rPr>
      </w:pPr>
      <w:r w:rsidRPr="001168C7">
        <w:rPr>
          <w:b/>
          <w:sz w:val="24"/>
          <w:szCs w:val="24"/>
        </w:rPr>
        <w:t>Questões para Fixação do Conteúdo</w:t>
      </w:r>
    </w:p>
    <w:p w14:paraId="4E45BD22" w14:textId="637D5038" w:rsidR="00F41A77" w:rsidRDefault="00F41A77" w:rsidP="00F41A7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Cite os três fatores que o gestor deve considerar na análise de investimento.</w:t>
      </w:r>
    </w:p>
    <w:p w14:paraId="597B6F99" w14:textId="5B8EBAFE" w:rsidR="00866FFA" w:rsidRPr="001168C7" w:rsidRDefault="00866FFA" w:rsidP="00F41A7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Definir ativo livre de risco.</w:t>
      </w:r>
    </w:p>
    <w:p w14:paraId="647591B6" w14:textId="77777777" w:rsidR="00F41A77" w:rsidRPr="001168C7" w:rsidRDefault="00F41A77" w:rsidP="00F41A7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Definir política de investimento.</w:t>
      </w:r>
    </w:p>
    <w:p w14:paraId="0D63D8E0" w14:textId="77777777" w:rsidR="00F41A77" w:rsidRDefault="00F41A77" w:rsidP="00F41A7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Cite os dois riscos associados aos ativos com risco (ações).</w:t>
      </w:r>
    </w:p>
    <w:p w14:paraId="4A83B01D" w14:textId="77777777" w:rsidR="00F41A77" w:rsidRDefault="00F41A77" w:rsidP="00F41A7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Explicar a importância da diversificação para o gestor de investimento.</w:t>
      </w:r>
    </w:p>
    <w:p w14:paraId="39081EDA" w14:textId="77777777" w:rsidR="00F41A77" w:rsidRDefault="00F41A77" w:rsidP="00F41A7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Definir gestão ativa e passiva.</w:t>
      </w:r>
    </w:p>
    <w:p w14:paraId="69E6AF61" w14:textId="77777777" w:rsidR="00452FDD" w:rsidRPr="00452FDD" w:rsidRDefault="00452FDD" w:rsidP="00452FDD">
      <w:pPr>
        <w:jc w:val="both"/>
        <w:rPr>
          <w:sz w:val="24"/>
          <w:szCs w:val="24"/>
        </w:rPr>
      </w:pPr>
    </w:p>
    <w:sectPr w:rsidR="00452FDD" w:rsidRPr="00452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04AEB"/>
    <w:multiLevelType w:val="hybridMultilevel"/>
    <w:tmpl w:val="B8867F8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8D5"/>
    <w:rsid w:val="00016F88"/>
    <w:rsid w:val="000C6B11"/>
    <w:rsid w:val="001168C7"/>
    <w:rsid w:val="0015283E"/>
    <w:rsid w:val="00287230"/>
    <w:rsid w:val="003316EB"/>
    <w:rsid w:val="003D113A"/>
    <w:rsid w:val="00452FDD"/>
    <w:rsid w:val="006262EC"/>
    <w:rsid w:val="00671F34"/>
    <w:rsid w:val="006763F2"/>
    <w:rsid w:val="007168C4"/>
    <w:rsid w:val="00750777"/>
    <w:rsid w:val="008078D5"/>
    <w:rsid w:val="00866FFA"/>
    <w:rsid w:val="00962634"/>
    <w:rsid w:val="009B703E"/>
    <w:rsid w:val="00A257D1"/>
    <w:rsid w:val="00AF67F0"/>
    <w:rsid w:val="00D02E54"/>
    <w:rsid w:val="00D45E8F"/>
    <w:rsid w:val="00D737E9"/>
    <w:rsid w:val="00EA7450"/>
    <w:rsid w:val="00F2340D"/>
    <w:rsid w:val="00F41A77"/>
    <w:rsid w:val="00F4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4F2F"/>
  <w15:docId w15:val="{C8FD0062-5C98-4FC2-ADEB-687D40D3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68C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077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52F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906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Carlos Pinheiro</cp:lastModifiedBy>
  <cp:revision>11</cp:revision>
  <dcterms:created xsi:type="dcterms:W3CDTF">2014-01-03T02:34:00Z</dcterms:created>
  <dcterms:modified xsi:type="dcterms:W3CDTF">2021-03-05T12:45:00Z</dcterms:modified>
</cp:coreProperties>
</file>